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50" w:rsidRDefault="00C44850">
      <w:pPr>
        <w:spacing w:after="0" w:line="240" w:lineRule="auto"/>
        <w:jc w:val="right"/>
        <w:rPr>
          <w:rFonts w:ascii="Times" w:eastAsia="Times" w:hAnsi="Times" w:cs="Times"/>
          <w:sz w:val="32"/>
          <w:szCs w:val="32"/>
        </w:rPr>
      </w:pPr>
    </w:p>
    <w:p w:rsidR="00C44850" w:rsidRDefault="00A27B62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UCHWAŁA NR 9/IV/24</w:t>
      </w:r>
    </w:p>
    <w:p w:rsidR="00C44850" w:rsidRDefault="00590B12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:rsidR="00C44850" w:rsidRDefault="00590B12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:rsidR="00C44850" w:rsidRDefault="00590B12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z dnia </w:t>
      </w:r>
      <w:r w:rsidR="00555310">
        <w:rPr>
          <w:rFonts w:ascii="Times" w:eastAsia="Times" w:hAnsi="Times" w:cs="Times"/>
          <w:b/>
          <w:sz w:val="32"/>
          <w:szCs w:val="32"/>
        </w:rPr>
        <w:t>16</w:t>
      </w:r>
      <w:bookmarkStart w:id="0" w:name="_GoBack"/>
      <w:bookmarkEnd w:id="0"/>
      <w:r w:rsidR="00A27B62">
        <w:rPr>
          <w:rFonts w:ascii="Times" w:eastAsia="Times" w:hAnsi="Times" w:cs="Times"/>
          <w:b/>
          <w:sz w:val="32"/>
          <w:szCs w:val="32"/>
        </w:rPr>
        <w:t xml:space="preserve"> marca 2024</w:t>
      </w:r>
      <w:r>
        <w:rPr>
          <w:rFonts w:ascii="Times" w:eastAsia="Times" w:hAnsi="Times" w:cs="Times"/>
          <w:b/>
          <w:sz w:val="32"/>
          <w:szCs w:val="32"/>
        </w:rPr>
        <w:t xml:space="preserve"> roku</w:t>
      </w:r>
    </w:p>
    <w:p w:rsidR="00C44850" w:rsidRDefault="00C44850">
      <w:pPr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A27B62" w:rsidRDefault="00A27B62" w:rsidP="00A27B62">
      <w:pPr>
        <w:spacing w:after="0" w:line="360" w:lineRule="auto"/>
        <w:jc w:val="center"/>
        <w:rPr>
          <w:rFonts w:ascii="Times" w:eastAsia="Times" w:hAnsi="Times" w:cs="Times"/>
          <w:b/>
          <w:sz w:val="28"/>
        </w:rPr>
      </w:pPr>
    </w:p>
    <w:p w:rsidR="00A27B62" w:rsidRDefault="00A27B62" w:rsidP="00A27B62">
      <w:pPr>
        <w:spacing w:after="0" w:line="240" w:lineRule="auto"/>
        <w:jc w:val="both"/>
      </w:pPr>
      <w:r>
        <w:rPr>
          <w:rFonts w:ascii="Times" w:eastAsia="Times" w:hAnsi="Times" w:cs="Times"/>
          <w:b/>
          <w:i/>
          <w:sz w:val="28"/>
        </w:rPr>
        <w:t>w sprawie zaopiniowania projektu uchwały Sejmiku Województwa Pomorskiego w sprawie ustanowienia Planu ochrony dla Parku Krajobrazowego „Mierzeja Wiślana”</w:t>
      </w:r>
    </w:p>
    <w:p w:rsidR="00A27B62" w:rsidRDefault="00A27B62" w:rsidP="00A27B62">
      <w:pPr>
        <w:spacing w:after="0" w:line="360" w:lineRule="auto"/>
        <w:rPr>
          <w:rFonts w:ascii="Times" w:eastAsia="Times" w:hAnsi="Times" w:cs="Times"/>
          <w:b/>
        </w:rPr>
      </w:pPr>
    </w:p>
    <w:p w:rsidR="00A27B62" w:rsidRDefault="00A27B62" w:rsidP="00A27B62">
      <w:pPr>
        <w:spacing w:after="0" w:line="360" w:lineRule="auto"/>
        <w:jc w:val="both"/>
      </w:pPr>
      <w:r>
        <w:rPr>
          <w:rFonts w:ascii="Times" w:eastAsia="Times" w:hAnsi="Times" w:cs="Times"/>
        </w:rPr>
        <w:t>Na podstawie § 6 ust. 1 pkt 6 oraz § 6 ust. 2 pkt 3 Statutu Młodzieżowego Sejmiku Województwa Pomorskiego stanowiącego załącznik do Uchwały nr 570/XLV/22 Sejmiku Województwa Pomorskiego z dnia 25 lipca 2022 r. w sprawie powołania Młodzieżowego Sejmiku Województwa Pomorskiego  oraz nadaniu mu statutu (Dz. Urz. Woj. Pomorskiego z 2022 r. poz. 3041);</w:t>
      </w:r>
    </w:p>
    <w:p w:rsidR="00A27B62" w:rsidRDefault="00A27B62" w:rsidP="00A27B62">
      <w:pPr>
        <w:spacing w:after="0" w:line="360" w:lineRule="auto"/>
        <w:rPr>
          <w:rFonts w:ascii="Times" w:eastAsia="Times" w:hAnsi="Times" w:cs="Times"/>
          <w:sz w:val="24"/>
        </w:rPr>
      </w:pPr>
    </w:p>
    <w:p w:rsidR="00A27B62" w:rsidRDefault="00A27B62" w:rsidP="00A27B62">
      <w:pPr>
        <w:spacing w:after="0" w:line="360" w:lineRule="auto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Młodzieżowy Sejmik Województwa Pomorskiego uchwala co następuje:</w:t>
      </w:r>
    </w:p>
    <w:p w:rsidR="00A27B62" w:rsidRDefault="00A27B62" w:rsidP="00A27B62">
      <w:pPr>
        <w:spacing w:after="0" w:line="360" w:lineRule="auto"/>
        <w:jc w:val="center"/>
      </w:pPr>
    </w:p>
    <w:p w:rsidR="00A27B62" w:rsidRDefault="00A27B62" w:rsidP="00A27B62">
      <w:pPr>
        <w:spacing w:after="0" w:line="360" w:lineRule="auto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>§ 1.</w:t>
      </w:r>
    </w:p>
    <w:p w:rsidR="00A27B62" w:rsidRDefault="00A27B62" w:rsidP="00A27B62">
      <w:pPr>
        <w:numPr>
          <w:ilvl w:val="0"/>
          <w:numId w:val="4"/>
        </w:numPr>
        <w:spacing w:after="0" w:line="360" w:lineRule="auto"/>
        <w:ind w:left="720" w:hanging="360"/>
        <w:jc w:val="both"/>
      </w:pPr>
      <w:r>
        <w:rPr>
          <w:rFonts w:ascii="Times" w:eastAsia="Times" w:hAnsi="Times" w:cs="Times"/>
          <w:sz w:val="24"/>
        </w:rPr>
        <w:t>Młodzieżowy Sejmikowi Województwa Pomorskiego pozytywnie opiniuje projekt uchwały Sejmiku Województwa Pomorskiego w sprawie ustanowienia Planu ochrony dla Parku Krajobrazowego „Mierzeja Wiślana” z druku nr 977.</w:t>
      </w:r>
    </w:p>
    <w:p w:rsidR="00A27B62" w:rsidRDefault="00A27B62" w:rsidP="00A27B62">
      <w:pPr>
        <w:numPr>
          <w:ilvl w:val="0"/>
          <w:numId w:val="4"/>
        </w:numPr>
        <w:spacing w:after="0" w:line="360" w:lineRule="auto"/>
        <w:ind w:left="720" w:hanging="360"/>
        <w:jc w:val="both"/>
      </w:pPr>
      <w:r>
        <w:rPr>
          <w:rFonts w:ascii="Times" w:eastAsia="Times" w:hAnsi="Times" w:cs="Times"/>
          <w:sz w:val="24"/>
        </w:rPr>
        <w:t>Przedstawienie opinii powierza się Przewodniczącemu Komisji do spraw Transportu Publicznego, Polityki Przestrzennej i Ochrony Środowiska Młodzieżowego Sejmiku Województwa Pomorskiego.</w:t>
      </w:r>
    </w:p>
    <w:p w:rsidR="00A27B62" w:rsidRDefault="00A27B62" w:rsidP="00A27B62">
      <w:pPr>
        <w:spacing w:after="0" w:line="360" w:lineRule="auto"/>
        <w:jc w:val="center"/>
      </w:pPr>
      <w:r>
        <w:rPr>
          <w:rFonts w:ascii="Times" w:eastAsia="Times" w:hAnsi="Times" w:cs="Times"/>
          <w:b/>
          <w:sz w:val="24"/>
        </w:rPr>
        <w:t>§ 2.</w:t>
      </w:r>
    </w:p>
    <w:p w:rsidR="00A27B62" w:rsidRDefault="00A27B62" w:rsidP="00A27B62">
      <w:pPr>
        <w:spacing w:after="0" w:line="360" w:lineRule="auto"/>
        <w:jc w:val="both"/>
        <w:rPr>
          <w:rFonts w:ascii="Times" w:eastAsia="Times" w:hAnsi="Times" w:cs="Times"/>
          <w:sz w:val="26"/>
        </w:rPr>
      </w:pPr>
      <w:r>
        <w:rPr>
          <w:rFonts w:ascii="Times" w:eastAsia="Times" w:hAnsi="Times" w:cs="Times"/>
          <w:b/>
          <w:sz w:val="24"/>
        </w:rPr>
        <w:tab/>
      </w:r>
      <w:r>
        <w:rPr>
          <w:rFonts w:ascii="Times" w:eastAsia="Times" w:hAnsi="Times" w:cs="Times"/>
          <w:sz w:val="24"/>
        </w:rPr>
        <w:t>Uchwała wchodzi w życie z dniem podjęcia.</w:t>
      </w:r>
    </w:p>
    <w:p w:rsidR="00A27B62" w:rsidRDefault="00A27B62" w:rsidP="00A27B62">
      <w:pPr>
        <w:spacing w:after="0" w:line="360" w:lineRule="auto"/>
        <w:jc w:val="center"/>
        <w:rPr>
          <w:rFonts w:ascii="Times" w:eastAsia="Times" w:hAnsi="Times" w:cs="Times"/>
          <w:sz w:val="24"/>
        </w:rPr>
      </w:pPr>
    </w:p>
    <w:p w:rsidR="00A27B62" w:rsidRDefault="00A27B62" w:rsidP="00A27B62">
      <w:pPr>
        <w:spacing w:after="0" w:line="360" w:lineRule="auto"/>
        <w:jc w:val="center"/>
        <w:rPr>
          <w:rFonts w:ascii="Times" w:eastAsia="Times" w:hAnsi="Times" w:cs="Times"/>
          <w:sz w:val="24"/>
        </w:rPr>
      </w:pPr>
    </w:p>
    <w:p w:rsidR="00A27B62" w:rsidRDefault="00A27B62" w:rsidP="00A27B62">
      <w:pPr>
        <w:spacing w:line="360" w:lineRule="auto"/>
        <w:ind w:left="424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Młodzieżowego</w:t>
      </w:r>
    </w:p>
    <w:p w:rsidR="00A27B62" w:rsidRDefault="00A27B62" w:rsidP="00A27B62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:rsidR="00A27B62" w:rsidRDefault="00A27B62" w:rsidP="00A27B62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62" w:rsidRDefault="00A27B62" w:rsidP="00A27B62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:rsidR="00A27B62" w:rsidRDefault="00A27B62" w:rsidP="00A27B62">
      <w:pPr>
        <w:spacing w:after="0" w:line="360" w:lineRule="auto"/>
        <w:rPr>
          <w:rFonts w:ascii="Times" w:eastAsia="Times" w:hAnsi="Times" w:cs="Times"/>
          <w:b/>
          <w:sz w:val="28"/>
        </w:rPr>
      </w:pPr>
    </w:p>
    <w:p w:rsidR="00A27B62" w:rsidRDefault="00A27B62" w:rsidP="00A27B62">
      <w:pPr>
        <w:spacing w:after="0" w:line="360" w:lineRule="auto"/>
        <w:jc w:val="center"/>
      </w:pPr>
      <w:r>
        <w:rPr>
          <w:rFonts w:ascii="Times" w:eastAsia="Times" w:hAnsi="Times" w:cs="Times"/>
          <w:b/>
          <w:sz w:val="28"/>
        </w:rPr>
        <w:lastRenderedPageBreak/>
        <w:t>UZASADNIENIE</w:t>
      </w:r>
    </w:p>
    <w:p w:rsidR="00A27B62" w:rsidRDefault="00A27B62" w:rsidP="00A27B62">
      <w:pPr>
        <w:spacing w:after="0" w:line="360" w:lineRule="auto"/>
        <w:jc w:val="both"/>
      </w:pPr>
      <w:r>
        <w:rPr>
          <w:rFonts w:ascii="Times" w:eastAsia="Times" w:hAnsi="Times" w:cs="Times"/>
          <w:sz w:val="24"/>
        </w:rPr>
        <w:t xml:space="preserve">Na podstawie § 6 ust. 2 pkt 3 Statutu Młodzieżowego Sejmiku Województwa Pomorskiego Młodzieżowy Sejmik Województwa Pomorskiego przedstawia organom Samorządu Województwa opinie o przygotowywanych projektach uchwał dotyczących młodzieży </w:t>
      </w:r>
      <w:r>
        <w:rPr>
          <w:rFonts w:ascii="Times" w:eastAsia="Times" w:hAnsi="Times" w:cs="Times"/>
          <w:sz w:val="24"/>
        </w:rPr>
        <w:br/>
        <w:t>i dokumentach strategicznych na rzecz młodzieży.</w:t>
      </w:r>
    </w:p>
    <w:p w:rsidR="00A27B62" w:rsidRDefault="00A27B62" w:rsidP="00A27B62">
      <w:pPr>
        <w:spacing w:after="0" w:line="360" w:lineRule="auto"/>
        <w:jc w:val="both"/>
      </w:pPr>
      <w:r>
        <w:rPr>
          <w:rFonts w:ascii="Times" w:eastAsia="Times" w:hAnsi="Times" w:cs="Times"/>
          <w:sz w:val="24"/>
        </w:rPr>
        <w:t xml:space="preserve">Przedłożony w druku nr 977 projekt uchwały SWP w sprawie ustanowienia Planu ochrony dla Parku Krajobrazowego „Mierzeja Wiślana” w sposób oczywisty dotyka młodzież zamieszkującą obszar określony w załączniku nr 3 do projektu, wobec czego w dniu 24 lutego 2024 roku podczas posiedzenia Komisji do spraw Transportu Publicznego, Polityki Przestrzennej i Ochrony Środowiska MSWP, przeprowadzono dyskusję nad ww. projektem po czym w wyniku głosowania (11/0/0) zdecydowano się podjąć inicjatywę uchwałodawczą przedkładając projekt uchwały MSWP opiniujący projekt uchwały SWP </w:t>
      </w:r>
      <w:r>
        <w:rPr>
          <w:rFonts w:ascii="Times" w:eastAsia="Times" w:hAnsi="Times" w:cs="Times"/>
          <w:b/>
          <w:sz w:val="24"/>
        </w:rPr>
        <w:t xml:space="preserve">pozytywnie </w:t>
      </w:r>
      <w:r>
        <w:rPr>
          <w:rFonts w:ascii="Times" w:eastAsia="Times" w:hAnsi="Times" w:cs="Times"/>
          <w:b/>
          <w:sz w:val="24"/>
        </w:rPr>
        <w:br/>
      </w:r>
      <w:r>
        <w:rPr>
          <w:rFonts w:ascii="Times" w:eastAsia="Times" w:hAnsi="Times" w:cs="Times"/>
          <w:sz w:val="24"/>
        </w:rPr>
        <w:t>bez składania wniosku o uzupełnienie jego treści.</w:t>
      </w:r>
    </w:p>
    <w:p w:rsidR="00A27B62" w:rsidRDefault="00A27B62" w:rsidP="00A27B62">
      <w:pPr>
        <w:spacing w:after="0" w:line="360" w:lineRule="auto"/>
        <w:jc w:val="both"/>
      </w:pPr>
      <w:r>
        <w:rPr>
          <w:rFonts w:ascii="Times" w:eastAsia="Times" w:hAnsi="Times" w:cs="Times"/>
          <w:color w:val="000000"/>
          <w:sz w:val="24"/>
        </w:rPr>
        <w:t xml:space="preserve">                                                                                         </w:t>
      </w:r>
    </w:p>
    <w:p w:rsidR="00A27B62" w:rsidRDefault="00A27B62" w:rsidP="00A27B62">
      <w:pPr>
        <w:spacing w:after="0" w:line="360" w:lineRule="auto"/>
        <w:jc w:val="both"/>
      </w:pPr>
    </w:p>
    <w:p w:rsidR="00A27B62" w:rsidRDefault="00A27B62">
      <w:pPr>
        <w:spacing w:after="0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</w:rPr>
      </w:pPr>
    </w:p>
    <w:p w:rsidR="00C44850" w:rsidRDefault="00C44850">
      <w:pPr>
        <w:spacing w:after="0" w:line="360" w:lineRule="auto"/>
        <w:jc w:val="center"/>
        <w:rPr>
          <w:rFonts w:ascii="Times" w:eastAsia="Times" w:hAnsi="Times" w:cs="Times"/>
          <w:b/>
          <w:sz w:val="32"/>
          <w:szCs w:val="32"/>
        </w:rPr>
      </w:pPr>
    </w:p>
    <w:p w:rsidR="00C44850" w:rsidRDefault="00C44850">
      <w:pPr>
        <w:spacing w:after="0" w:line="360" w:lineRule="auto"/>
        <w:jc w:val="center"/>
        <w:rPr>
          <w:rFonts w:ascii="Times" w:eastAsia="Times" w:hAnsi="Times" w:cs="Times"/>
          <w:b/>
          <w:sz w:val="32"/>
          <w:szCs w:val="32"/>
        </w:rPr>
      </w:pPr>
    </w:p>
    <w:p w:rsidR="00C44850" w:rsidRDefault="00C44850">
      <w:pPr>
        <w:spacing w:after="0" w:line="360" w:lineRule="auto"/>
        <w:rPr>
          <w:rFonts w:ascii="Times" w:eastAsia="Times" w:hAnsi="Times" w:cs="Times"/>
          <w:b/>
          <w:sz w:val="28"/>
          <w:szCs w:val="28"/>
        </w:rPr>
      </w:pPr>
    </w:p>
    <w:p w:rsidR="00C44850" w:rsidRDefault="00C44850" w:rsidP="00A27B62">
      <w:pPr>
        <w:spacing w:after="0" w:line="360" w:lineRule="auto"/>
        <w:jc w:val="center"/>
        <w:rPr>
          <w:rFonts w:ascii="Times" w:eastAsia="Times" w:hAnsi="Times" w:cs="Times"/>
          <w:i/>
        </w:rPr>
      </w:pPr>
    </w:p>
    <w:sectPr w:rsidR="00C44850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832"/>
    <w:multiLevelType w:val="multilevel"/>
    <w:tmpl w:val="D55E0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6D300A"/>
    <w:multiLevelType w:val="multilevel"/>
    <w:tmpl w:val="623650F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716F39"/>
    <w:multiLevelType w:val="multilevel"/>
    <w:tmpl w:val="635893D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79520B99"/>
    <w:multiLevelType w:val="multilevel"/>
    <w:tmpl w:val="463E3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50"/>
    <w:rsid w:val="00555310"/>
    <w:rsid w:val="00590B12"/>
    <w:rsid w:val="00A27B62"/>
    <w:rsid w:val="00C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9562"/>
  <w15:docId w15:val="{1CA92D31-A581-45A6-882B-49A1E3C5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dc:description/>
  <cp:lastModifiedBy>Burlińska Aleksandra</cp:lastModifiedBy>
  <cp:revision>3</cp:revision>
  <cp:lastPrinted>2024-03-15T08:11:00Z</cp:lastPrinted>
  <dcterms:created xsi:type="dcterms:W3CDTF">2024-03-15T08:07:00Z</dcterms:created>
  <dcterms:modified xsi:type="dcterms:W3CDTF">2024-03-15T08:11:00Z</dcterms:modified>
  <dc:language>en-GB</dc:language>
</cp:coreProperties>
</file>