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5E38DB6F" w:rsidR="00CB1786" w:rsidRDefault="00637D8B">
      <w:pPr>
        <w:spacing w:after="0" w:line="240" w:lineRule="auto"/>
        <w:jc w:val="center"/>
      </w:pPr>
      <w:r>
        <w:rPr>
          <w:rFonts w:ascii="Times" w:eastAsia="Times" w:hAnsi="Times" w:cs="Times"/>
          <w:b/>
          <w:sz w:val="32"/>
          <w:szCs w:val="32"/>
        </w:rPr>
        <w:t>UCHWAŁA NR  11/V</w:t>
      </w:r>
      <w:r w:rsidR="001C2CF6">
        <w:rPr>
          <w:rFonts w:ascii="Times" w:eastAsia="Times" w:hAnsi="Times" w:cs="Times"/>
          <w:b/>
          <w:sz w:val="32"/>
          <w:szCs w:val="32"/>
        </w:rPr>
        <w:t>/24</w:t>
      </w:r>
    </w:p>
    <w:p w14:paraId="00000003" w14:textId="77777777" w:rsidR="00CB1786" w:rsidRDefault="001C2CF6">
      <w:pPr>
        <w:spacing w:after="0" w:line="240" w:lineRule="auto"/>
        <w:jc w:val="center"/>
      </w:pPr>
      <w:r>
        <w:rPr>
          <w:rFonts w:ascii="Times" w:eastAsia="Times" w:hAnsi="Times" w:cs="Times"/>
          <w:b/>
          <w:sz w:val="32"/>
          <w:szCs w:val="32"/>
        </w:rPr>
        <w:t>MŁODZIEŻOWEGO SEJMIKU</w:t>
      </w:r>
    </w:p>
    <w:p w14:paraId="00000004" w14:textId="77777777" w:rsidR="00CB1786" w:rsidRDefault="001C2CF6">
      <w:pPr>
        <w:spacing w:after="0" w:line="240" w:lineRule="auto"/>
        <w:jc w:val="center"/>
      </w:pPr>
      <w:r>
        <w:rPr>
          <w:rFonts w:ascii="Times" w:eastAsia="Times" w:hAnsi="Times" w:cs="Times"/>
          <w:b/>
          <w:sz w:val="32"/>
          <w:szCs w:val="32"/>
        </w:rPr>
        <w:t>WOJEWÓDZTWA POMORSKIEGO</w:t>
      </w:r>
    </w:p>
    <w:p w14:paraId="00000005" w14:textId="196B4484" w:rsidR="00CB1786" w:rsidRDefault="00637D8B">
      <w:pPr>
        <w:spacing w:after="0" w:line="240" w:lineRule="auto"/>
        <w:jc w:val="center"/>
      </w:pPr>
      <w:r>
        <w:rPr>
          <w:rFonts w:ascii="Times" w:eastAsia="Times" w:hAnsi="Times" w:cs="Times"/>
          <w:b/>
          <w:sz w:val="32"/>
          <w:szCs w:val="32"/>
        </w:rPr>
        <w:t xml:space="preserve">z dnia 20 kwietnia </w:t>
      </w:r>
      <w:r w:rsidR="001C2CF6">
        <w:rPr>
          <w:rFonts w:ascii="Times" w:eastAsia="Times" w:hAnsi="Times" w:cs="Times"/>
          <w:b/>
          <w:sz w:val="32"/>
          <w:szCs w:val="32"/>
        </w:rPr>
        <w:t>2024 roku</w:t>
      </w:r>
    </w:p>
    <w:p w14:paraId="00000006" w14:textId="77777777" w:rsidR="00CB1786" w:rsidRDefault="00CB1786">
      <w:pPr>
        <w:spacing w:after="0" w:line="360" w:lineRule="auto"/>
        <w:jc w:val="center"/>
        <w:rPr>
          <w:rFonts w:ascii="Times" w:eastAsia="Times" w:hAnsi="Times" w:cs="Times"/>
          <w:b/>
          <w:sz w:val="28"/>
          <w:szCs w:val="28"/>
        </w:rPr>
      </w:pPr>
    </w:p>
    <w:p w14:paraId="00000007" w14:textId="77777777" w:rsidR="00CB1786" w:rsidRDefault="001C2CF6">
      <w:pPr>
        <w:spacing w:after="0" w:line="240" w:lineRule="auto"/>
        <w:jc w:val="both"/>
        <w:rPr>
          <w:rFonts w:ascii="Times" w:eastAsia="Times" w:hAnsi="Times" w:cs="Times"/>
          <w:b/>
          <w:i/>
          <w:sz w:val="28"/>
          <w:szCs w:val="28"/>
        </w:rPr>
      </w:pPr>
      <w:r>
        <w:rPr>
          <w:rFonts w:ascii="Times" w:eastAsia="Times" w:hAnsi="Times" w:cs="Times"/>
          <w:b/>
          <w:i/>
          <w:sz w:val="28"/>
          <w:szCs w:val="28"/>
        </w:rPr>
        <w:t xml:space="preserve">w sprawie zaopiniowania projektu uchwały Sejmiku Województwa Pomorskiego w sprawie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określenia szczegółowych warunków, form, zakresu oraz trybu udzielania pomocy w ramach Programu wspierania edukacji uzdolnionych dzieci i młodzieży pobierających naukę na terenie województwa pomorskiego.</w:t>
      </w:r>
    </w:p>
    <w:p w14:paraId="00000008" w14:textId="77777777" w:rsidR="00CB1786" w:rsidRDefault="00CB1786">
      <w:pPr>
        <w:spacing w:after="0" w:line="360" w:lineRule="auto"/>
        <w:rPr>
          <w:rFonts w:ascii="Times" w:eastAsia="Times" w:hAnsi="Times" w:cs="Times"/>
          <w:b/>
        </w:rPr>
      </w:pPr>
    </w:p>
    <w:p w14:paraId="00000009" w14:textId="2A47E441" w:rsidR="00CB1786" w:rsidRDefault="001C2CF6">
      <w:pPr>
        <w:spacing w:after="0" w:line="360" w:lineRule="auto"/>
        <w:jc w:val="both"/>
      </w:pPr>
      <w:r>
        <w:rPr>
          <w:rFonts w:ascii="Times" w:eastAsia="Times" w:hAnsi="Times" w:cs="Times"/>
        </w:rPr>
        <w:t xml:space="preserve">Na podstawie § 6 ust. 1 pkt 6 oraz § 6 ust. 2 pkt 3 Statutu Młodzieżowego Sejmiku Województwa Pomorskiego stanowiącego załącznik do Uchwały nr 570/XLV/22 Sejmiku Województwa Pomorskiego z dnia 25 lipca 2022 r. w sprawie powołania Młodzieżowego Sejmiku Województwa Pomorskiego </w:t>
      </w:r>
      <w:r w:rsidR="00637D8B">
        <w:rPr>
          <w:rFonts w:ascii="Times" w:eastAsia="Times" w:hAnsi="Times" w:cs="Times"/>
        </w:rPr>
        <w:br/>
      </w:r>
      <w:r>
        <w:rPr>
          <w:rFonts w:ascii="Times" w:eastAsia="Times" w:hAnsi="Times" w:cs="Times"/>
        </w:rPr>
        <w:t>oraz nadaniu mu statutu (Dz. Urz. Woj. Pomorskiego z 2022 r. poz. 3041);</w:t>
      </w:r>
    </w:p>
    <w:p w14:paraId="0000000A" w14:textId="77777777" w:rsidR="00CB1786" w:rsidRDefault="00CB1786">
      <w:pPr>
        <w:spacing w:after="0" w:line="360" w:lineRule="auto"/>
        <w:rPr>
          <w:rFonts w:ascii="Times" w:eastAsia="Times" w:hAnsi="Times" w:cs="Times"/>
          <w:sz w:val="24"/>
          <w:szCs w:val="24"/>
        </w:rPr>
      </w:pPr>
    </w:p>
    <w:p w14:paraId="0000000B" w14:textId="77777777" w:rsidR="00CB1786" w:rsidRDefault="001C2CF6">
      <w:pPr>
        <w:spacing w:after="0" w:line="360" w:lineRule="auto"/>
        <w:jc w:val="center"/>
        <w:rPr>
          <w:rFonts w:ascii="Times" w:eastAsia="Times" w:hAnsi="Times" w:cs="Times"/>
          <w:b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Młodzieżowy Sejmik Województwa Pomorskiego uchwala co następuje:</w:t>
      </w:r>
    </w:p>
    <w:p w14:paraId="0000000C" w14:textId="77777777" w:rsidR="00CB1786" w:rsidRDefault="00CB1786">
      <w:pPr>
        <w:spacing w:after="0" w:line="360" w:lineRule="auto"/>
        <w:jc w:val="center"/>
      </w:pPr>
    </w:p>
    <w:p w14:paraId="0000000D" w14:textId="77777777" w:rsidR="00CB1786" w:rsidRDefault="001C2CF6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b/>
          <w:sz w:val="24"/>
          <w:szCs w:val="24"/>
        </w:rPr>
        <w:t>§ 1.</w:t>
      </w:r>
    </w:p>
    <w:p w14:paraId="0000000E" w14:textId="2E7D5313" w:rsidR="00CB1786" w:rsidRDefault="001C2CF6">
      <w:pPr>
        <w:numPr>
          <w:ilvl w:val="0"/>
          <w:numId w:val="2"/>
        </w:numPr>
        <w:spacing w:after="0" w:line="360" w:lineRule="auto"/>
        <w:ind w:left="720" w:hanging="360"/>
        <w:jc w:val="both"/>
      </w:pPr>
      <w:bookmarkStart w:id="0" w:name="_heading=h.gjdgxs" w:colFirst="0" w:colLast="0"/>
      <w:bookmarkEnd w:id="0"/>
      <w:r>
        <w:rPr>
          <w:rFonts w:ascii="Times" w:eastAsia="Times" w:hAnsi="Times" w:cs="Times"/>
          <w:sz w:val="24"/>
          <w:szCs w:val="24"/>
        </w:rPr>
        <w:t>Młodzieżowy Sejmik Województwa Pomorskiego proponuje następujące poprawki do projektu uchwały Sejmiku Województwa Pomorskiego w sprawie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określenia szczegółowych warunków, form, zakresu oraz trybu udzielania pomocy w ramach Programu wspierani</w:t>
      </w:r>
      <w:r w:rsidR="00637D8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 edukacji uzdolnionych dzieci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młodzieży pobierających naukę na terenie województwa pomorskiego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z druku nr </w:t>
      </w:r>
      <w:r>
        <w:rPr>
          <w:rFonts w:ascii="Times" w:eastAsia="Times" w:hAnsi="Times" w:cs="Times"/>
          <w:b/>
          <w:sz w:val="24"/>
          <w:szCs w:val="24"/>
        </w:rPr>
        <w:t>X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0F" w14:textId="18E8BB2C" w:rsidR="00CB1786" w:rsidRDefault="001C2CF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a27ng72s22ff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usuwa się </w:t>
      </w:r>
      <w:r>
        <w:rPr>
          <w:rFonts w:ascii="Times" w:eastAsia="Times" w:hAnsi="Times" w:cs="Times"/>
          <w:b/>
          <w:sz w:val="24"/>
          <w:szCs w:val="24"/>
        </w:rPr>
        <w:t>§</w:t>
      </w:r>
      <w:r>
        <w:rPr>
          <w:rFonts w:ascii="Times" w:eastAsia="Times" w:hAnsi="Times" w:cs="Times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pkt. 4. o brzmieniu </w:t>
      </w:r>
      <w:r>
        <w:rPr>
          <w:rFonts w:ascii="Times" w:eastAsia="Times" w:hAnsi="Times" w:cs="Times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Indywidualnym programie lub toku nauki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program realizowany zgodnie z Rozporządzeniem Ministra Edukacji Narodowej i Sportu z dnia 19 grudnia 2001 r. w sprawie warunków i trybu udzielania zezwoleń na indywidualny program lub tok nauki oraz organizacji indywidualnego programu lub toku nauki oraz Rozporządzeniem Ministra Edukacji Narodowej z dnia </w:t>
      </w:r>
      <w:r w:rsidR="00637D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 sierpnia 2017 r. w sprawie warunków i trybu udzielania zezwoleń na indywidualny program lub tok nauki oraz organizacji indywidualnego programu lub toku nauki;”</w:t>
      </w:r>
    </w:p>
    <w:p w14:paraId="00000010" w14:textId="77777777" w:rsidR="00CB1786" w:rsidRDefault="001C2CF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hladl5ejowl8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usuwa się z </w:t>
      </w:r>
      <w:r>
        <w:rPr>
          <w:rFonts w:ascii="Times" w:eastAsia="Times" w:hAnsi="Times" w:cs="Times"/>
          <w:b/>
          <w:sz w:val="24"/>
          <w:szCs w:val="24"/>
        </w:rPr>
        <w:t>§</w:t>
      </w:r>
      <w:r>
        <w:rPr>
          <w:rFonts w:ascii="Times" w:eastAsia="Times" w:hAnsi="Times" w:cs="Times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ust. 5. pkt 4. </w:t>
      </w:r>
      <w:r>
        <w:rPr>
          <w:rFonts w:ascii="Times" w:eastAsia="Times" w:hAnsi="Times" w:cs="Times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zaświadczenie dyrektora szkoły potwierdzające realizację przez Ucznia indywidualnego programu lub toku nauki w bieżącym roku szkolnym – jeśli dotyczy, a na świadectwie szkolnym Ucznia, którego potwierdzona kopia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dołączona jest do Wniosku, realizacja indywidulanego programu lub toku nauki nie została odnotowana;”</w:t>
      </w:r>
    </w:p>
    <w:p w14:paraId="00000011" w14:textId="77777777" w:rsidR="00CB1786" w:rsidRDefault="001C2CF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rzqwds9es4rz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" w:eastAsia="Times" w:hAnsi="Times" w:cs="Times"/>
          <w:sz w:val="24"/>
          <w:szCs w:val="24"/>
        </w:rPr>
        <w:t xml:space="preserve">typendium wyklucza możliwość aplikowania o </w:t>
      </w:r>
      <w:r>
        <w:rPr>
          <w:rFonts w:ascii="Times New Roman" w:eastAsia="Times New Roman" w:hAnsi="Times New Roman" w:cs="Times New Roman"/>
          <w:sz w:val="24"/>
          <w:szCs w:val="24"/>
        </w:rPr>
        <w:t>stypendia Marszałka Województwa Pomorskiego w ramach projektu ,,Regionalne wsparcie rozwoju szkolnictwa zawodowego” współfinansowanego ze środków unijnych.”</w:t>
      </w:r>
    </w:p>
    <w:p w14:paraId="00000012" w14:textId="33615476" w:rsidR="00CB1786" w:rsidRDefault="001C2CF6">
      <w:pPr>
        <w:widowControl w:val="0"/>
        <w:numPr>
          <w:ilvl w:val="0"/>
          <w:numId w:val="1"/>
        </w:numPr>
        <w:spacing w:after="0" w:line="296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zmienia się </w:t>
      </w:r>
      <w:r>
        <w:rPr>
          <w:rFonts w:ascii="Times" w:eastAsia="Times" w:hAnsi="Times" w:cs="Times"/>
          <w:b/>
          <w:sz w:val="24"/>
          <w:szCs w:val="24"/>
        </w:rPr>
        <w:t>§</w:t>
      </w:r>
      <w:r>
        <w:rPr>
          <w:rFonts w:ascii="Times" w:eastAsia="Times" w:hAnsi="Times" w:cs="Times"/>
          <w:sz w:val="24"/>
          <w:szCs w:val="24"/>
        </w:rPr>
        <w:t xml:space="preserve">7, ust. 2. o brzmieniu „Ocena merytoryczna Wniosku polega na przyznaniu punktów (maksymalnie 63 punkty) w ramach kryteriów obowiązkowych </w:t>
      </w:r>
      <w:r w:rsidR="00637D8B"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i dodatkowych.” na „Ocena merytoryczna Wniosku polega na przyznaniu punktów (maksymalnie 53 punkty) w ramach kryteriów.”</w:t>
      </w:r>
    </w:p>
    <w:p w14:paraId="00000013" w14:textId="77777777" w:rsidR="00CB1786" w:rsidRDefault="001C2CF6">
      <w:pPr>
        <w:widowControl w:val="0"/>
        <w:numPr>
          <w:ilvl w:val="0"/>
          <w:numId w:val="1"/>
        </w:numPr>
        <w:spacing w:after="0" w:line="304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zmienia się </w:t>
      </w:r>
      <w:r>
        <w:rPr>
          <w:rFonts w:ascii="Times" w:eastAsia="Times" w:hAnsi="Times" w:cs="Times"/>
          <w:b/>
          <w:sz w:val="24"/>
          <w:szCs w:val="24"/>
        </w:rPr>
        <w:t>§</w:t>
      </w:r>
      <w:r>
        <w:rPr>
          <w:rFonts w:ascii="Times" w:eastAsia="Times" w:hAnsi="Times" w:cs="Times"/>
          <w:sz w:val="24"/>
          <w:szCs w:val="24"/>
        </w:rPr>
        <w:t>7, ust. 3. o brzmieniu „Kryteria obowiązkowe, za które można uzyskać maksymalnie 57 punktów, są następujące:” na „Kryteria obowiązkowe, za które można uzyskać maksymalnie 53 punkty, są następujące:”</w:t>
      </w:r>
    </w:p>
    <w:p w14:paraId="00000014" w14:textId="6C45D31B" w:rsidR="00CB1786" w:rsidRDefault="001C2CF6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zmienia się </w:t>
      </w:r>
      <w:r>
        <w:rPr>
          <w:rFonts w:ascii="Times" w:eastAsia="Times" w:hAnsi="Times" w:cs="Times"/>
          <w:b/>
          <w:sz w:val="24"/>
          <w:szCs w:val="24"/>
        </w:rPr>
        <w:t>§</w:t>
      </w:r>
      <w:r>
        <w:rPr>
          <w:rFonts w:ascii="Times" w:eastAsia="Times" w:hAnsi="Times" w:cs="Times"/>
          <w:sz w:val="24"/>
          <w:szCs w:val="24"/>
        </w:rPr>
        <w:t xml:space="preserve">7, ust. 3, pkt 2. o brzmieniu „Średnia ocen (maksymalnie 21 punktów) – przy czym punkty przyznawane są zgodnie z następującym wzorem: Liczba punktów = Średnia ocen x 21 / 6” na „Średnia ocen (maksymalnie 16 punktów) – przy czym punkty przyznawane są zgodnie z następującym wzorem: Liczba punktów = Średnia ocen x </w:t>
      </w:r>
      <w:r w:rsidR="00637D8B">
        <w:rPr>
          <w:rFonts w:ascii="Times" w:eastAsia="Times" w:hAnsi="Times" w:cs="Times"/>
          <w:sz w:val="24"/>
          <w:szCs w:val="24"/>
        </w:rPr>
        <w:br/>
      </w:r>
      <w:r>
        <w:rPr>
          <w:rFonts w:ascii="Times" w:eastAsia="Times" w:hAnsi="Times" w:cs="Times"/>
          <w:sz w:val="24"/>
          <w:szCs w:val="24"/>
        </w:rPr>
        <w:t>16 / 6”</w:t>
      </w:r>
    </w:p>
    <w:p w14:paraId="00000015" w14:textId="77777777" w:rsidR="00CB1786" w:rsidRDefault="001C2CF6">
      <w:pPr>
        <w:widowControl w:val="0"/>
        <w:numPr>
          <w:ilvl w:val="0"/>
          <w:numId w:val="1"/>
        </w:numPr>
        <w:spacing w:after="0" w:line="359" w:lineRule="auto"/>
        <w:ind w:right="10"/>
        <w:jc w:val="both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zmienia się §7, ust. 4. na “</w:t>
      </w:r>
      <w:r>
        <w:rPr>
          <w:rFonts w:ascii="Times New Roman" w:eastAsia="Times New Roman" w:hAnsi="Times New Roman" w:cs="Times New Roman"/>
          <w:sz w:val="24"/>
          <w:szCs w:val="24"/>
        </w:rPr>
        <w:t>Kryterium dodatkowe, za które można uzyskać maksymalnie 1 punkt, jest następujące: aktualne Orzeczenie o niepełnosprawności Ucznia – 1 punkt.”</w:t>
      </w:r>
    </w:p>
    <w:p w14:paraId="00000016" w14:textId="77777777" w:rsidR="00CB1786" w:rsidRDefault="001C2CF6">
      <w:pPr>
        <w:numPr>
          <w:ilvl w:val="0"/>
          <w:numId w:val="1"/>
        </w:numPr>
        <w:spacing w:after="0" w:line="360" w:lineRule="auto"/>
        <w:jc w:val="both"/>
        <w:rPr>
          <w:rFonts w:ascii="Times" w:eastAsia="Times" w:hAnsi="Times" w:cs="Times"/>
          <w:sz w:val="24"/>
          <w:szCs w:val="24"/>
        </w:rPr>
      </w:pPr>
      <w:bookmarkStart w:id="4" w:name="_heading=h.6rcmmkyxvzkg" w:colFirst="0" w:colLast="0"/>
      <w:bookmarkEnd w:id="4"/>
      <w:r>
        <w:rPr>
          <w:rFonts w:ascii="Times" w:eastAsia="Times" w:hAnsi="Times" w:cs="Times"/>
          <w:sz w:val="24"/>
          <w:szCs w:val="24"/>
        </w:rPr>
        <w:t xml:space="preserve">poza tym projekt opiniuje się </w:t>
      </w:r>
      <w:r>
        <w:rPr>
          <w:rFonts w:ascii="Times" w:eastAsia="Times" w:hAnsi="Times" w:cs="Times"/>
          <w:b/>
          <w:sz w:val="24"/>
          <w:szCs w:val="24"/>
        </w:rPr>
        <w:t>pozytywnie</w:t>
      </w:r>
      <w:r>
        <w:rPr>
          <w:rFonts w:ascii="Times" w:eastAsia="Times" w:hAnsi="Times" w:cs="Times"/>
          <w:sz w:val="24"/>
          <w:szCs w:val="24"/>
        </w:rPr>
        <w:t>.</w:t>
      </w:r>
    </w:p>
    <w:p w14:paraId="00000017" w14:textId="77777777" w:rsidR="00CB1786" w:rsidRDefault="001C2CF6">
      <w:pPr>
        <w:numPr>
          <w:ilvl w:val="0"/>
          <w:numId w:val="2"/>
        </w:numPr>
        <w:spacing w:after="0" w:line="360" w:lineRule="auto"/>
        <w:ind w:left="720" w:hanging="360"/>
        <w:jc w:val="both"/>
      </w:pPr>
      <w:r>
        <w:rPr>
          <w:rFonts w:ascii="Times" w:eastAsia="Times" w:hAnsi="Times" w:cs="Times"/>
          <w:sz w:val="24"/>
          <w:szCs w:val="24"/>
        </w:rPr>
        <w:t>Przedstawienie opinii powierza się Przewodniczącej Komisji do spraw Edukacji, Kultury i Równości Młodzieżowego Sejmiku Województwa Pomorskiego.</w:t>
      </w:r>
    </w:p>
    <w:p w14:paraId="00000018" w14:textId="77777777" w:rsidR="00CB1786" w:rsidRDefault="001C2CF6">
      <w:pPr>
        <w:spacing w:after="0" w:line="360" w:lineRule="auto"/>
        <w:jc w:val="center"/>
      </w:pPr>
      <w:r>
        <w:rPr>
          <w:rFonts w:ascii="Times" w:eastAsia="Times" w:hAnsi="Times" w:cs="Times"/>
          <w:b/>
          <w:sz w:val="24"/>
          <w:szCs w:val="24"/>
        </w:rPr>
        <w:t>§ 2.</w:t>
      </w:r>
    </w:p>
    <w:p w14:paraId="00000019" w14:textId="77777777" w:rsidR="00CB1786" w:rsidRDefault="001C2CF6">
      <w:pPr>
        <w:spacing w:after="0" w:line="360" w:lineRule="auto"/>
        <w:jc w:val="both"/>
        <w:rPr>
          <w:rFonts w:ascii="Times" w:eastAsia="Times" w:hAnsi="Times" w:cs="Times"/>
          <w:sz w:val="26"/>
          <w:szCs w:val="26"/>
        </w:rPr>
      </w:pPr>
      <w:r>
        <w:rPr>
          <w:rFonts w:ascii="Times" w:eastAsia="Times" w:hAnsi="Times" w:cs="Times"/>
          <w:b/>
          <w:sz w:val="24"/>
          <w:szCs w:val="24"/>
        </w:rPr>
        <w:tab/>
      </w:r>
      <w:r>
        <w:rPr>
          <w:rFonts w:ascii="Times" w:eastAsia="Times" w:hAnsi="Times" w:cs="Times"/>
          <w:sz w:val="24"/>
          <w:szCs w:val="24"/>
        </w:rPr>
        <w:t>Uchwała wchodzi w życie z dniem podjęcia.</w:t>
      </w:r>
    </w:p>
    <w:p w14:paraId="0000001A" w14:textId="77777777" w:rsidR="00CB1786" w:rsidRDefault="00CB1786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14:paraId="0000001B" w14:textId="77777777" w:rsidR="00CB1786" w:rsidRDefault="00CB1786">
      <w:pPr>
        <w:spacing w:after="0" w:line="360" w:lineRule="auto"/>
        <w:jc w:val="center"/>
        <w:rPr>
          <w:rFonts w:ascii="Times" w:eastAsia="Times" w:hAnsi="Times" w:cs="Times"/>
          <w:sz w:val="24"/>
          <w:szCs w:val="24"/>
        </w:rPr>
      </w:pPr>
    </w:p>
    <w:p w14:paraId="0000001C" w14:textId="77777777" w:rsidR="00CB1786" w:rsidRDefault="001C2CF6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Przewodnicząca Młodzieżowego</w:t>
      </w:r>
    </w:p>
    <w:p w14:paraId="0000001D" w14:textId="77777777" w:rsidR="00CB1786" w:rsidRDefault="001C2CF6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Sejmiku Województwa Pomorskiego</w:t>
      </w:r>
    </w:p>
    <w:p w14:paraId="0000001E" w14:textId="77777777" w:rsidR="00CB1786" w:rsidRDefault="00CB1786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F" w14:textId="77777777" w:rsidR="00CB1786" w:rsidRDefault="001C2CF6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Nina Katka</w:t>
      </w:r>
    </w:p>
    <w:p w14:paraId="00000020" w14:textId="77777777" w:rsidR="00CB1786" w:rsidRDefault="00CB1786">
      <w:pPr>
        <w:spacing w:after="0" w:line="360" w:lineRule="auto"/>
        <w:rPr>
          <w:rFonts w:ascii="Times" w:eastAsia="Times" w:hAnsi="Times" w:cs="Times"/>
          <w:sz w:val="24"/>
          <w:szCs w:val="24"/>
        </w:rPr>
      </w:pPr>
    </w:p>
    <w:p w14:paraId="00000021" w14:textId="4DC09B2F" w:rsidR="00CB1786" w:rsidRDefault="00CB1786">
      <w:pPr>
        <w:spacing w:after="0" w:line="360" w:lineRule="auto"/>
        <w:rPr>
          <w:rFonts w:ascii="Times" w:eastAsia="Times" w:hAnsi="Times" w:cs="Times"/>
          <w:b/>
          <w:sz w:val="28"/>
          <w:szCs w:val="28"/>
        </w:rPr>
      </w:pPr>
    </w:p>
    <w:p w14:paraId="710E34F6" w14:textId="77777777" w:rsidR="00637D8B" w:rsidRDefault="00637D8B">
      <w:pPr>
        <w:spacing w:after="0" w:line="360" w:lineRule="auto"/>
        <w:rPr>
          <w:rFonts w:ascii="Times" w:eastAsia="Times" w:hAnsi="Times" w:cs="Times"/>
          <w:b/>
          <w:sz w:val="28"/>
          <w:szCs w:val="28"/>
        </w:rPr>
      </w:pPr>
    </w:p>
    <w:p w14:paraId="00000022" w14:textId="77777777" w:rsidR="00CB1786" w:rsidRDefault="001C2CF6">
      <w:pPr>
        <w:spacing w:after="0" w:line="360" w:lineRule="auto"/>
        <w:jc w:val="center"/>
      </w:pPr>
      <w:r>
        <w:rPr>
          <w:rFonts w:ascii="Times" w:eastAsia="Times" w:hAnsi="Times" w:cs="Times"/>
          <w:b/>
          <w:sz w:val="28"/>
          <w:szCs w:val="28"/>
        </w:rPr>
        <w:lastRenderedPageBreak/>
        <w:t>UZASADNIENIE</w:t>
      </w:r>
    </w:p>
    <w:p w14:paraId="00000023" w14:textId="77777777" w:rsidR="00CB1786" w:rsidRDefault="001C2CF6">
      <w:pPr>
        <w:spacing w:after="0" w:line="360" w:lineRule="auto"/>
        <w:jc w:val="both"/>
      </w:pPr>
      <w:r>
        <w:rPr>
          <w:rFonts w:ascii="Times" w:eastAsia="Times" w:hAnsi="Times" w:cs="Times"/>
          <w:sz w:val="24"/>
          <w:szCs w:val="24"/>
        </w:rPr>
        <w:t xml:space="preserve">Na podstawie § 6 ust. 2 pkt 3 Statutu Młodzieżowego Sejmiku Województwa Pomorskiego Młodzieżowy Sejmik Województwa Pomorskiego przedstawia organom Samorządu Województwa opinie o przygotowywanych projektach uchwał dotyczących młodzieży </w:t>
      </w:r>
      <w:r>
        <w:rPr>
          <w:rFonts w:ascii="Times" w:eastAsia="Times" w:hAnsi="Times" w:cs="Times"/>
          <w:sz w:val="24"/>
          <w:szCs w:val="24"/>
        </w:rPr>
        <w:br/>
        <w:t>i dokumentach strategicznych na rzecz młodzieży.</w:t>
      </w:r>
    </w:p>
    <w:p w14:paraId="00000024" w14:textId="1C405268" w:rsidR="00CB1786" w:rsidRDefault="00637D8B">
      <w:pPr>
        <w:spacing w:after="0" w:line="360" w:lineRule="auto"/>
        <w:jc w:val="both"/>
      </w:pPr>
      <w:r>
        <w:rPr>
          <w:rFonts w:ascii="Times" w:eastAsia="Times" w:hAnsi="Times" w:cs="Times"/>
          <w:sz w:val="24"/>
          <w:szCs w:val="24"/>
        </w:rPr>
        <w:t xml:space="preserve">Przedłożony w druku nr 1006 </w:t>
      </w:r>
      <w:r w:rsidR="001C2CF6">
        <w:rPr>
          <w:rFonts w:ascii="Times" w:eastAsia="Times" w:hAnsi="Times" w:cs="Times"/>
          <w:sz w:val="24"/>
          <w:szCs w:val="24"/>
        </w:rPr>
        <w:t xml:space="preserve">projekt uchwały SWP w sprawie </w:t>
      </w:r>
      <w:r w:rsidR="001C2CF6">
        <w:rPr>
          <w:rFonts w:ascii="Times New Roman" w:eastAsia="Times New Roman" w:hAnsi="Times New Roman" w:cs="Times New Roman"/>
          <w:sz w:val="24"/>
          <w:szCs w:val="24"/>
        </w:rPr>
        <w:t>określenia szczegółowych warunków, form, zakresu oraz trybu udzielania pomocy w ramach Programu wspierania edukacji uzdolnionych dzieci i młodzieży pobierających naukę na terenie województwa pomorskiego</w:t>
      </w:r>
      <w:r w:rsidR="001C2CF6">
        <w:rPr>
          <w:rFonts w:ascii="Times" w:eastAsia="Times" w:hAnsi="Times" w:cs="Times"/>
          <w:sz w:val="24"/>
          <w:szCs w:val="24"/>
        </w:rPr>
        <w:t xml:space="preserve"> w sposób oczywisty dotyka młodzież zamieszkującą obszar województwa pomorskiego, wobec czego w dniach 15 i 20 kwietnia 2024 roku podczas posiedzenia Komisji do spraw Edukacji, Kultury i Równości Młodzieżowego Sejmiku, przeprowadzono dyskusję nad ww. projektem po czym w wyniku głosowania zdecydowano się podjąć inicjatywę uchwałodawczą przed</w:t>
      </w:r>
      <w:bookmarkStart w:id="5" w:name="_GoBack"/>
      <w:bookmarkEnd w:id="5"/>
      <w:r w:rsidR="001C2CF6">
        <w:rPr>
          <w:rFonts w:ascii="Times" w:eastAsia="Times" w:hAnsi="Times" w:cs="Times"/>
          <w:sz w:val="24"/>
          <w:szCs w:val="24"/>
        </w:rPr>
        <w:t xml:space="preserve">kładając projekt uchwały MSWP opiniujący projekt uchwały SWP </w:t>
      </w:r>
      <w:r w:rsidR="001C2CF6">
        <w:rPr>
          <w:rFonts w:ascii="Times" w:eastAsia="Times" w:hAnsi="Times" w:cs="Times"/>
          <w:b/>
          <w:sz w:val="24"/>
          <w:szCs w:val="24"/>
        </w:rPr>
        <w:t xml:space="preserve">pozytywnie </w:t>
      </w:r>
      <w:r w:rsidR="001C2CF6">
        <w:rPr>
          <w:rFonts w:ascii="Times" w:eastAsia="Times" w:hAnsi="Times" w:cs="Times"/>
          <w:sz w:val="24"/>
          <w:szCs w:val="24"/>
        </w:rPr>
        <w:t>przy złożeniu wniosku o uzupełnienie jego treści.</w:t>
      </w:r>
    </w:p>
    <w:p w14:paraId="00000025" w14:textId="77777777" w:rsidR="00CB1786" w:rsidRDefault="001C2CF6">
      <w:pPr>
        <w:spacing w:after="0" w:line="360" w:lineRule="auto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14:paraId="00000026" w14:textId="6AA61235" w:rsidR="00CB1786" w:rsidRDefault="00CB1786">
      <w:pPr>
        <w:spacing w:after="0" w:line="360" w:lineRule="auto"/>
        <w:jc w:val="both"/>
      </w:pPr>
    </w:p>
    <w:p w14:paraId="00155E77" w14:textId="4ED59B39" w:rsidR="00637D8B" w:rsidRDefault="00637D8B">
      <w:pPr>
        <w:spacing w:after="0" w:line="360" w:lineRule="auto"/>
        <w:jc w:val="both"/>
      </w:pPr>
    </w:p>
    <w:p w14:paraId="73B0C90D" w14:textId="601DDC0D" w:rsidR="00637D8B" w:rsidRDefault="00637D8B">
      <w:pPr>
        <w:spacing w:after="0" w:line="360" w:lineRule="auto"/>
        <w:jc w:val="both"/>
      </w:pPr>
    </w:p>
    <w:p w14:paraId="4460EB2D" w14:textId="77777777" w:rsidR="00637D8B" w:rsidRDefault="00637D8B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879087" w14:textId="4D90A167" w:rsidR="00637D8B" w:rsidRPr="00637D8B" w:rsidRDefault="00637D8B" w:rsidP="00637D8B">
      <w:pPr>
        <w:spacing w:after="0" w:line="360" w:lineRule="auto"/>
        <w:ind w:left="288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37D8B" w:rsidRPr="00637D8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2CA9"/>
    <w:multiLevelType w:val="multilevel"/>
    <w:tmpl w:val="155CD206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6740176"/>
    <w:multiLevelType w:val="multilevel"/>
    <w:tmpl w:val="6C3218F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86"/>
    <w:rsid w:val="001C2CF6"/>
    <w:rsid w:val="00366C5E"/>
    <w:rsid w:val="00637D8B"/>
    <w:rsid w:val="00C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552"/>
  <w15:docId w15:val="{FC73AE5C-D655-4D3A-8DDE-3F3539A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3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378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wbICmNWwvjzU5RnPq6oe9m76eQ==">CgMxLjAyCGguZ2pkZ3hzMg5oLmEyN25nNzJzMjJmZjIOaC5obGFkbDVlam93bDgyDmgucnpxd2RzOWVzNHJ6Mg5oLjZyY21ta3l4dnprZzgAciExVEZhNFAxYUpvSWMyMjJYMnJYYXlVQ1R3Z3EtcTlUbno=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Burlińska Aleksandra</dc:creator>
  <cp:lastModifiedBy>Burlińska Aleksandra</cp:lastModifiedBy>
  <cp:revision>4</cp:revision>
  <cp:lastPrinted>2024-05-06T08:26:00Z</cp:lastPrinted>
  <dcterms:created xsi:type="dcterms:W3CDTF">2024-04-22T06:22:00Z</dcterms:created>
  <dcterms:modified xsi:type="dcterms:W3CDTF">2024-05-06T08:26:00Z</dcterms:modified>
</cp:coreProperties>
</file>